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专家申报系统操作说明</w:t>
      </w:r>
    </w:p>
    <w:p>
      <w:pPr>
        <w:numPr>
          <w:ilvl w:val="0"/>
          <w:numId w:val="1"/>
        </w:numPr>
        <w:ind w:left="425" w:leftChars="0" w:hanging="425"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访问专家申报系统网址（建议360等兼容性强的主流浏览器）：</w:t>
      </w:r>
    </w:p>
    <w:p>
      <w:pPr>
        <w:numPr>
          <w:numId w:val="0"/>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"http://expertmeet.cepca.org.cn/Home/ExpertApplyLogin" </w:instrText>
      </w:r>
      <w:r>
        <w:rPr>
          <w:rFonts w:hint="eastAsia" w:ascii="仿宋_GB2312" w:hAnsi="仿宋_GB2312" w:eastAsia="仿宋_GB2312" w:cs="仿宋_GB2312"/>
          <w:sz w:val="28"/>
          <w:szCs w:val="28"/>
          <w:lang w:val="en-US" w:eastAsia="zh-CN"/>
        </w:rPr>
        <w:fldChar w:fldCharType="separate"/>
      </w:r>
      <w:r>
        <w:rPr>
          <w:rStyle w:val="5"/>
          <w:rFonts w:hint="eastAsia" w:ascii="仿宋_GB2312" w:hAnsi="仿宋_GB2312" w:eastAsia="仿宋_GB2312" w:cs="仿宋_GB2312"/>
          <w:sz w:val="28"/>
          <w:szCs w:val="28"/>
          <w:lang w:val="en-US" w:eastAsia="zh-CN"/>
        </w:rPr>
        <w:t>http://expertmeet.cepca.org.cn/Home/ExpertApplyLogin</w:t>
      </w:r>
      <w:r>
        <w:rPr>
          <w:rFonts w:hint="eastAsia" w:ascii="仿宋_GB2312" w:hAnsi="仿宋_GB2312" w:eastAsia="仿宋_GB2312" w:cs="仿宋_GB2312"/>
          <w:sz w:val="28"/>
          <w:szCs w:val="28"/>
          <w:lang w:val="en-US" w:eastAsia="zh-CN"/>
        </w:rPr>
        <w:fldChar w:fldCharType="end"/>
      </w:r>
    </w:p>
    <w:p>
      <w:pPr>
        <w:numPr>
          <w:numId w:val="0"/>
        </w:numPr>
        <w:ind w:leftChars="0"/>
        <w:rPr>
          <w:rFonts w:hint="eastAsia" w:ascii="仿宋_GB2312" w:hAnsi="仿宋_GB2312" w:eastAsia="仿宋_GB2312" w:cs="仿宋_GB2312"/>
          <w:sz w:val="28"/>
          <w:szCs w:val="28"/>
          <w:lang w:val="en-US" w:eastAsia="zh-CN"/>
        </w:rPr>
      </w:pPr>
    </w:p>
    <w:p>
      <w:pPr>
        <w:numPr>
          <w:ilvl w:val="0"/>
          <w:numId w:val="1"/>
        </w:numPr>
        <w:ind w:left="425" w:leftChars="0" w:hanging="425"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访问后会自动跳到协会官网登录界面（如官网已登录，会自动登录专家申报系统）</w:t>
      </w:r>
    </w:p>
    <w:p>
      <w:pPr>
        <w:numPr>
          <w:numId w:val="0"/>
        </w:numPr>
        <w:ind w:leftChars="0"/>
      </w:pPr>
      <w:r>
        <w:drawing>
          <wp:inline distT="0" distB="0" distL="114300" distR="114300">
            <wp:extent cx="5264785" cy="2754630"/>
            <wp:effectExtent l="0" t="0" r="1206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4785" cy="2754630"/>
                    </a:xfrm>
                    <a:prstGeom prst="rect">
                      <a:avLst/>
                    </a:prstGeom>
                    <a:noFill/>
                    <a:ln>
                      <a:noFill/>
                    </a:ln>
                  </pic:spPr>
                </pic:pic>
              </a:graphicData>
            </a:graphic>
          </wp:inline>
        </w:drawing>
      </w:r>
    </w:p>
    <w:p>
      <w:pPr>
        <w:numPr>
          <w:numId w:val="0"/>
        </w:numPr>
        <w:ind w:leftChars="0"/>
      </w:pPr>
    </w:p>
    <w:p>
      <w:pPr>
        <w:numPr>
          <w:numId w:val="0"/>
        </w:numPr>
        <w:ind w:leftChars="0"/>
      </w:pPr>
    </w:p>
    <w:p>
      <w:pPr>
        <w:numPr>
          <w:ilvl w:val="0"/>
          <w:numId w:val="1"/>
        </w:numPr>
        <w:ind w:left="425" w:leftChars="0" w:hanging="425"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如有账号登录即可（可用注册的帐号及手机号作为账号登录），如过没有账号可点击旁边的注册进行账号注册</w:t>
      </w:r>
    </w:p>
    <w:p>
      <w:pPr>
        <w:numPr>
          <w:numId w:val="0"/>
        </w:numPr>
        <w:ind w:leftChars="0"/>
      </w:pPr>
      <w:r>
        <w:drawing>
          <wp:inline distT="0" distB="0" distL="114300" distR="114300">
            <wp:extent cx="5264785" cy="2754630"/>
            <wp:effectExtent l="0" t="0" r="1206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4785" cy="2754630"/>
                    </a:xfrm>
                    <a:prstGeom prst="rect">
                      <a:avLst/>
                    </a:prstGeom>
                    <a:noFill/>
                    <a:ln>
                      <a:noFill/>
                    </a:ln>
                  </pic:spPr>
                </pic:pic>
              </a:graphicData>
            </a:graphic>
          </wp:inline>
        </w:drawing>
      </w:r>
    </w:p>
    <w:p>
      <w:pPr>
        <w:numPr>
          <w:numId w:val="0"/>
        </w:numPr>
        <w:ind w:leftChars="0"/>
      </w:pPr>
    </w:p>
    <w:p>
      <w:pPr>
        <w:numPr>
          <w:ilvl w:val="0"/>
          <w:numId w:val="1"/>
        </w:numPr>
        <w:ind w:left="425" w:leftChars="0" w:hanging="425"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E54C5E" w:themeColor="accent6"/>
          <w:sz w:val="28"/>
          <w:szCs w:val="28"/>
          <w:lang w:val="en-US" w:eastAsia="zh-CN"/>
          <w14:textFill>
            <w14:solidFill>
              <w14:schemeClr w14:val="accent6"/>
            </w14:solidFill>
          </w14:textFill>
        </w:rPr>
        <w:t>注册成功后确认官网已登录请重新访问第一步的登录网址</w:t>
      </w:r>
      <w:r>
        <w:rPr>
          <w:rFonts w:hint="eastAsia" w:ascii="仿宋_GB2312" w:hAnsi="仿宋_GB2312" w:eastAsia="仿宋_GB2312" w:cs="仿宋_GB2312"/>
          <w:sz w:val="28"/>
          <w:szCs w:val="28"/>
          <w:lang w:val="en-US" w:eastAsia="zh-CN"/>
        </w:rPr>
        <w:t>，系统会自动登录专家申报系统（如下图）</w:t>
      </w:r>
    </w:p>
    <w:p>
      <w:pPr>
        <w:numPr>
          <w:numId w:val="0"/>
        </w:numPr>
        <w:ind w:leftChars="0"/>
      </w:pPr>
      <w:r>
        <w:drawing>
          <wp:inline distT="0" distB="0" distL="114300" distR="114300">
            <wp:extent cx="5264785" cy="626745"/>
            <wp:effectExtent l="0" t="0" r="1206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4785" cy="626745"/>
                    </a:xfrm>
                    <a:prstGeom prst="rect">
                      <a:avLst/>
                    </a:prstGeom>
                    <a:noFill/>
                    <a:ln>
                      <a:noFill/>
                    </a:ln>
                  </pic:spPr>
                </pic:pic>
              </a:graphicData>
            </a:graphic>
          </wp:inline>
        </w:drawing>
      </w:r>
    </w:p>
    <w:p>
      <w:pPr>
        <w:numPr>
          <w:numId w:val="0"/>
        </w:numPr>
        <w:ind w:leftChars="0"/>
        <w:rPr>
          <w:rFonts w:hint="eastAsia"/>
          <w:lang w:val="en-US" w:eastAsia="zh-CN"/>
        </w:rPr>
      </w:pPr>
    </w:p>
    <w:p>
      <w:pPr>
        <w:numPr>
          <w:ilvl w:val="0"/>
          <w:numId w:val="1"/>
        </w:numPr>
        <w:ind w:left="425" w:leftChars="0" w:hanging="425"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进入专家申报系统后请</w:t>
      </w:r>
      <w:r>
        <w:rPr>
          <w:rFonts w:hint="eastAsia" w:ascii="仿宋_GB2312" w:hAnsi="仿宋_GB2312" w:eastAsia="仿宋_GB2312" w:cs="仿宋_GB2312"/>
          <w:color w:val="E54C5E" w:themeColor="accent6"/>
          <w:sz w:val="28"/>
          <w:szCs w:val="28"/>
          <w:lang w:val="en-US" w:eastAsia="zh-CN"/>
          <w14:textFill>
            <w14:solidFill>
              <w14:schemeClr w14:val="accent6"/>
            </w14:solidFill>
          </w14:textFill>
        </w:rPr>
        <w:t>下载首页的专家申报附件</w:t>
      </w:r>
      <w:r>
        <w:rPr>
          <w:rFonts w:hint="eastAsia" w:ascii="仿宋_GB2312" w:hAnsi="仿宋_GB2312" w:eastAsia="仿宋_GB2312" w:cs="仿宋_GB2312"/>
          <w:color w:val="auto"/>
          <w:sz w:val="28"/>
          <w:szCs w:val="28"/>
          <w:lang w:val="en-US" w:eastAsia="zh-CN"/>
        </w:rPr>
        <w:t>（请勿使用其他旧版的附件进行填写，以免影响后期审核）</w:t>
      </w:r>
    </w:p>
    <w:p>
      <w:pPr>
        <w:numPr>
          <w:numId w:val="0"/>
        </w:numPr>
        <w:ind w:leftChars="0"/>
        <w:rPr>
          <w:rFonts w:hint="eastAsia" w:ascii="仿宋_GB2312" w:hAnsi="仿宋_GB2312" w:eastAsia="仿宋_GB2312" w:cs="仿宋_GB2312"/>
          <w:sz w:val="28"/>
          <w:szCs w:val="28"/>
          <w:lang w:val="en-US" w:eastAsia="zh-CN"/>
        </w:rPr>
      </w:pPr>
      <w:r>
        <w:drawing>
          <wp:inline distT="0" distB="0" distL="114300" distR="114300">
            <wp:extent cx="5264785" cy="2754630"/>
            <wp:effectExtent l="0" t="0" r="1206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4785" cy="2754630"/>
                    </a:xfrm>
                    <a:prstGeom prst="rect">
                      <a:avLst/>
                    </a:prstGeom>
                    <a:noFill/>
                    <a:ln>
                      <a:noFill/>
                    </a:ln>
                  </pic:spPr>
                </pic:pic>
              </a:graphicData>
            </a:graphic>
          </wp:inline>
        </w:drawing>
      </w:r>
    </w:p>
    <w:p>
      <w:pPr>
        <w:widowControl w:val="0"/>
        <w:numPr>
          <w:numId w:val="0"/>
        </w:numPr>
        <w:jc w:val="both"/>
        <w:rPr>
          <w:rFonts w:hint="eastAsia" w:ascii="仿宋_GB2312" w:hAnsi="仿宋_GB2312" w:eastAsia="仿宋_GB2312" w:cs="仿宋_GB2312"/>
          <w:sz w:val="28"/>
          <w:szCs w:val="28"/>
          <w:lang w:val="en-US" w:eastAsia="zh-CN"/>
        </w:rPr>
      </w:pPr>
    </w:p>
    <w:p>
      <w:pPr>
        <w:numPr>
          <w:ilvl w:val="0"/>
          <w:numId w:val="1"/>
        </w:numPr>
        <w:ind w:left="425" w:leftChars="0" w:hanging="425"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按照协会文件规定填写完附件文件后及其他需要打包的文件成压缩文件，然后进行填写报名信息</w:t>
      </w:r>
    </w:p>
    <w:p>
      <w:pPr>
        <w:numPr>
          <w:numId w:val="0"/>
        </w:numPr>
        <w:ind w:leftChars="0"/>
        <w:rPr>
          <w:rFonts w:hint="eastAsia" w:ascii="仿宋_GB2312" w:hAnsi="仿宋_GB2312" w:eastAsia="仿宋_GB2312" w:cs="仿宋_GB2312"/>
          <w:color w:val="auto"/>
          <w:sz w:val="28"/>
          <w:szCs w:val="28"/>
          <w:lang w:val="en-US" w:eastAsia="zh-CN"/>
        </w:rPr>
      </w:pPr>
      <w:r>
        <w:drawing>
          <wp:inline distT="0" distB="0" distL="114300" distR="114300">
            <wp:extent cx="5264785" cy="2754630"/>
            <wp:effectExtent l="0" t="0" r="1206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4785" cy="2754630"/>
                    </a:xfrm>
                    <a:prstGeom prst="rect">
                      <a:avLst/>
                    </a:prstGeom>
                    <a:noFill/>
                    <a:ln>
                      <a:noFill/>
                    </a:ln>
                  </pic:spPr>
                </pic:pic>
              </a:graphicData>
            </a:graphic>
          </wp:inline>
        </w:drawing>
      </w:r>
    </w:p>
    <w:p>
      <w:pPr>
        <w:numPr>
          <w:ilvl w:val="0"/>
          <w:numId w:val="1"/>
        </w:numPr>
        <w:ind w:left="425" w:leftChars="0" w:hanging="425"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填写完信息保存即可（</w:t>
      </w:r>
      <w:r>
        <w:rPr>
          <w:rFonts w:hint="eastAsia" w:ascii="仿宋_GB2312" w:hAnsi="仿宋_GB2312" w:eastAsia="仿宋_GB2312" w:cs="仿宋_GB2312"/>
          <w:color w:val="E54C5E" w:themeColor="accent6"/>
          <w:sz w:val="28"/>
          <w:szCs w:val="28"/>
          <w:lang w:val="en-US" w:eastAsia="zh-CN"/>
          <w14:textFill>
            <w14:solidFill>
              <w14:schemeClr w14:val="accent6"/>
            </w14:solidFill>
          </w14:textFill>
        </w:rPr>
        <w:t>注意：上传照片及附件选择文件后请点击后面的上传按钮</w:t>
      </w:r>
      <w:r>
        <w:rPr>
          <w:rFonts w:hint="eastAsia" w:ascii="仿宋_GB2312" w:hAnsi="仿宋_GB2312" w:eastAsia="仿宋_GB2312" w:cs="仿宋_GB2312"/>
          <w:color w:val="auto"/>
          <w:sz w:val="28"/>
          <w:szCs w:val="28"/>
          <w:lang w:val="en-US" w:eastAsia="zh-CN"/>
        </w:rPr>
        <w:t>）</w:t>
      </w:r>
      <w:bookmarkStart w:id="0" w:name="_GoBack"/>
      <w:bookmarkEnd w:id="0"/>
    </w:p>
    <w:p>
      <w:pPr>
        <w:numPr>
          <w:numId w:val="0"/>
        </w:numPr>
        <w:ind w:leftChars="0"/>
      </w:pPr>
      <w:r>
        <w:drawing>
          <wp:inline distT="0" distB="0" distL="114300" distR="114300">
            <wp:extent cx="5273040" cy="382143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3040" cy="3821430"/>
                    </a:xfrm>
                    <a:prstGeom prst="rect">
                      <a:avLst/>
                    </a:prstGeom>
                    <a:noFill/>
                    <a:ln>
                      <a:noFill/>
                    </a:ln>
                  </pic:spPr>
                </pic:pic>
              </a:graphicData>
            </a:graphic>
          </wp:inline>
        </w:drawing>
      </w:r>
    </w:p>
    <w:p>
      <w:pPr>
        <w:numPr>
          <w:ilvl w:val="0"/>
          <w:numId w:val="1"/>
        </w:numPr>
        <w:ind w:left="425" w:leftChars="0" w:hanging="425"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填写完信息保存即可（</w:t>
      </w:r>
      <w:r>
        <w:rPr>
          <w:rFonts w:hint="eastAsia" w:ascii="仿宋_GB2312" w:hAnsi="仿宋_GB2312" w:eastAsia="仿宋_GB2312" w:cs="仿宋_GB2312"/>
          <w:color w:val="E54C5E" w:themeColor="accent6"/>
          <w:sz w:val="28"/>
          <w:szCs w:val="28"/>
          <w:lang w:val="en-US" w:eastAsia="zh-CN"/>
          <w14:textFill>
            <w14:solidFill>
              <w14:schemeClr w14:val="accent6"/>
            </w14:solidFill>
          </w14:textFill>
        </w:rPr>
        <w:t>注意：上传照片及附件选择文件后请点击后面的上传按钮</w:t>
      </w:r>
      <w:r>
        <w:rPr>
          <w:rFonts w:hint="eastAsia" w:ascii="仿宋_GB2312" w:hAnsi="仿宋_GB2312" w:eastAsia="仿宋_GB2312" w:cs="仿宋_GB2312"/>
          <w:color w:val="auto"/>
          <w:sz w:val="28"/>
          <w:szCs w:val="28"/>
          <w:lang w:val="en-US" w:eastAsia="zh-CN"/>
        </w:rPr>
        <w:t>）</w:t>
      </w:r>
    </w:p>
    <w:p>
      <w:pPr>
        <w:numPr>
          <w:ilvl w:val="0"/>
          <w:numId w:val="0"/>
        </w:numPr>
        <w:ind w:leftChars="0"/>
        <w:rPr>
          <w:rFonts w:hint="default" w:eastAsiaTheme="minorEastAsia"/>
          <w:color w:val="E54C5E" w:themeColor="accent6"/>
          <w:sz w:val="32"/>
          <w:szCs w:val="32"/>
          <w:lang w:val="en-US" w:eastAsia="zh-CN"/>
          <w14:textFill>
            <w14:solidFill>
              <w14:schemeClr w14:val="accent6"/>
            </w14:solidFill>
          </w14:textFill>
        </w:rPr>
      </w:pPr>
      <w:r>
        <w:rPr>
          <w:rFonts w:hint="eastAsia"/>
          <w:color w:val="E54C5E" w:themeColor="accent6"/>
          <w:sz w:val="32"/>
          <w:szCs w:val="32"/>
          <w:lang w:val="en-US" w:eastAsia="zh-CN"/>
          <w14:textFill>
            <w14:solidFill>
              <w14:schemeClr w14:val="accent6"/>
            </w14:solidFill>
          </w14:textFill>
        </w:rPr>
        <w:t>注意：如填写内容中如遇界面无法下拉，可手动选择性别后即可滚动</w:t>
      </w:r>
    </w:p>
    <w:p>
      <w:pPr>
        <w:numPr>
          <w:numId w:val="0"/>
        </w:numPr>
        <w:ind w:leftChars="0"/>
        <w:rPr>
          <w:rFonts w:hint="eastAsia" w:ascii="仿宋_GB2312" w:hAnsi="仿宋_GB2312" w:eastAsia="仿宋_GB2312" w:cs="仿宋_GB2312"/>
          <w:color w:val="auto"/>
          <w:sz w:val="28"/>
          <w:szCs w:val="28"/>
          <w:lang w:val="en-US" w:eastAsia="zh-CN"/>
        </w:rPr>
      </w:pPr>
    </w:p>
    <w:p>
      <w:pPr>
        <w:numPr>
          <w:numId w:val="0"/>
        </w:numPr>
        <w:ind w:leftChars="0"/>
      </w:pPr>
      <w:r>
        <w:drawing>
          <wp:inline distT="0" distB="0" distL="114300" distR="114300">
            <wp:extent cx="5264785" cy="2754630"/>
            <wp:effectExtent l="0" t="0" r="1206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64785" cy="2754630"/>
                    </a:xfrm>
                    <a:prstGeom prst="rect">
                      <a:avLst/>
                    </a:prstGeom>
                    <a:noFill/>
                    <a:ln>
                      <a:noFill/>
                    </a:ln>
                  </pic:spPr>
                </pic:pic>
              </a:graphicData>
            </a:graphic>
          </wp:inline>
        </w:drawing>
      </w:r>
    </w:p>
    <w:p>
      <w:pPr>
        <w:numPr>
          <w:numId w:val="0"/>
        </w:numPr>
        <w:ind w:leftChars="0"/>
      </w:pPr>
    </w:p>
    <w:p>
      <w:pPr>
        <w:numPr>
          <w:numId w:val="0"/>
        </w:numPr>
        <w:ind w:leftChars="0"/>
      </w:pPr>
    </w:p>
    <w:p>
      <w:pPr>
        <w:numPr>
          <w:ilvl w:val="0"/>
          <w:numId w:val="1"/>
        </w:numPr>
        <w:ind w:left="425" w:leftChars="0" w:hanging="425"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在部门及专家办未审批情况下和有初核不通过情况才可修改信息，其他情况不可修改信息，修改成功后不通过状态恢复为未审批状态，请随时留意协会审批进度</w:t>
      </w:r>
    </w:p>
    <w:p>
      <w:pPr>
        <w:numPr>
          <w:numId w:val="0"/>
        </w:numPr>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86003"/>
    <w:multiLevelType w:val="singleLevel"/>
    <w:tmpl w:val="14C8600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OTY0Zjg1NWVhNGI0YWI5MDk5MjVhNDQwYzRiYzYifQ=="/>
  </w:docVars>
  <w:rsids>
    <w:rsidRoot w:val="56535D29"/>
    <w:rsid w:val="1F531875"/>
    <w:rsid w:val="5653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2024-04-30T00:46:00Z</dcterms:created>
  <dc:creator>阿涛</dc:creator>
  <cp:lastModifiedBy>阿涛</cp:lastModifiedBy>
  <dcterms:modified xsi:type="dcterms:W3CDTF">2024-04-30T01:50:58Z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BA770F88732645D69988C63867ACA8B5_11</vt:lpwstr>
  </property>
</Properties>
</file>